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E0B" w:rsidRPr="00C61E0B" w:rsidRDefault="00C61E0B" w:rsidP="00C61E0B">
      <w:pPr>
        <w:shd w:val="clear" w:color="auto" w:fill="FFFFFF"/>
        <w:spacing w:before="300" w:after="300" w:line="240" w:lineRule="auto"/>
        <w:outlineLvl w:val="0"/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</w:pPr>
      <w:r w:rsidRPr="00C61E0B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 xml:space="preserve">Как подтвердить статус </w:t>
      </w:r>
      <w:proofErr w:type="spellStart"/>
      <w:r w:rsidRPr="00C61E0B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>предпенсионера</w:t>
      </w:r>
      <w:proofErr w:type="spellEnd"/>
      <w:r w:rsidRPr="00C61E0B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>?</w:t>
      </w:r>
    </w:p>
    <w:p w:rsidR="00C61E0B" w:rsidRPr="00C61E0B" w:rsidRDefault="00C61E0B" w:rsidP="00C61E0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УПФР ГУ-ОПФР по КБР в Чегемском районе</w:t>
      </w:r>
      <w:r w:rsidRPr="00C61E0B">
        <w:rPr>
          <w:rFonts w:ascii="Arial" w:eastAsia="Times New Roman" w:hAnsi="Arial" w:cs="Arial"/>
          <w:i/>
          <w:iCs/>
          <w:color w:val="333333"/>
          <w:sz w:val="27"/>
          <w:szCs w:val="27"/>
          <w:lang w:eastAsia="ru-RU"/>
        </w:rPr>
        <w:t xml:space="preserve"> разъясняет, как жителям ра</w:t>
      </w:r>
      <w:r>
        <w:rPr>
          <w:rFonts w:ascii="Arial" w:eastAsia="Times New Roman" w:hAnsi="Arial" w:cs="Arial"/>
          <w:i/>
          <w:iCs/>
          <w:color w:val="333333"/>
          <w:sz w:val="27"/>
          <w:szCs w:val="27"/>
          <w:lang w:eastAsia="ru-RU"/>
        </w:rPr>
        <w:t>йона</w:t>
      </w:r>
      <w:r w:rsidRPr="00C61E0B">
        <w:rPr>
          <w:rFonts w:ascii="Arial" w:eastAsia="Times New Roman" w:hAnsi="Arial" w:cs="Arial"/>
          <w:i/>
          <w:iCs/>
          <w:color w:val="333333"/>
          <w:sz w:val="27"/>
          <w:szCs w:val="27"/>
          <w:lang w:eastAsia="ru-RU"/>
        </w:rPr>
        <w:t xml:space="preserve"> подтвердить статус </w:t>
      </w:r>
      <w:proofErr w:type="spellStart"/>
      <w:r w:rsidRPr="00C61E0B">
        <w:rPr>
          <w:rFonts w:ascii="Arial" w:eastAsia="Times New Roman" w:hAnsi="Arial" w:cs="Arial"/>
          <w:i/>
          <w:iCs/>
          <w:color w:val="333333"/>
          <w:sz w:val="27"/>
          <w:szCs w:val="27"/>
          <w:lang w:eastAsia="ru-RU"/>
        </w:rPr>
        <w:t>предп</w:t>
      </w:r>
      <w:bookmarkStart w:id="0" w:name="_GoBack"/>
      <w:bookmarkEnd w:id="0"/>
      <w:r w:rsidRPr="00C61E0B">
        <w:rPr>
          <w:rFonts w:ascii="Arial" w:eastAsia="Times New Roman" w:hAnsi="Arial" w:cs="Arial"/>
          <w:i/>
          <w:iCs/>
          <w:color w:val="333333"/>
          <w:sz w:val="27"/>
          <w:szCs w:val="27"/>
          <w:lang w:eastAsia="ru-RU"/>
        </w:rPr>
        <w:t>енсионера</w:t>
      </w:r>
      <w:proofErr w:type="spellEnd"/>
      <w:r w:rsidRPr="00C61E0B">
        <w:rPr>
          <w:rFonts w:ascii="Arial" w:eastAsia="Times New Roman" w:hAnsi="Arial" w:cs="Arial"/>
          <w:i/>
          <w:iCs/>
          <w:color w:val="333333"/>
          <w:sz w:val="27"/>
          <w:szCs w:val="27"/>
          <w:lang w:eastAsia="ru-RU"/>
        </w:rPr>
        <w:t>.</w:t>
      </w:r>
    </w:p>
    <w:p w:rsidR="00C61E0B" w:rsidRPr="00C61E0B" w:rsidRDefault="00C61E0B" w:rsidP="00C61E0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C61E0B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Напомним, новая социальная категория граждан – лица </w:t>
      </w:r>
      <w:proofErr w:type="spellStart"/>
      <w:r w:rsidRPr="00C61E0B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предпенсионного</w:t>
      </w:r>
      <w:proofErr w:type="spellEnd"/>
      <w:r w:rsidRPr="00C61E0B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возраста – появилась в России в 2019 году. Согласно закону, они имеют право на некоторые льготы и меры социальной поддержки. Например, федеральных льгот, которые гарантированы </w:t>
      </w:r>
      <w:proofErr w:type="spellStart"/>
      <w:r w:rsidRPr="00C61E0B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предпенсионерам</w:t>
      </w:r>
      <w:proofErr w:type="spellEnd"/>
      <w:r w:rsidRPr="00C61E0B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, пять. Это освобождение от имущественного и земельного налога (по достижению возраста 55 и 60 лет женщинам и мужчинам соответственно), два дня в год на диспансеризацию с сохранением заработной платы, гарантия трудовой занятости, бесплатное профессиональное переобучение и повышенное пособие по безработице. Кроме того, при отсутствии возможности трудоустройства, </w:t>
      </w:r>
      <w:proofErr w:type="spellStart"/>
      <w:r w:rsidRPr="00C61E0B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предпенсионеру</w:t>
      </w:r>
      <w:proofErr w:type="spellEnd"/>
      <w:r w:rsidRPr="00C61E0B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(важное условие – необходимый страховой стаж 20 лет для женщин и 25 лет для мужчин) могут назначить пенсию на два года ранее достижения пенсионного возраста. Но единственным основанием для назначения досрочной пенсии в этом случае является предложение центра занятости.</w:t>
      </w:r>
      <w:r w:rsidRPr="00C61E0B">
        <w:rPr>
          <w:rFonts w:ascii="Arial" w:eastAsia="Times New Roman" w:hAnsi="Arial" w:cs="Arial"/>
          <w:color w:val="333333"/>
          <w:sz w:val="27"/>
          <w:szCs w:val="27"/>
          <w:lang w:eastAsia="ru-RU"/>
        </w:rPr>
        <w:br/>
        <w:t xml:space="preserve">Чтобы пользоваться преимуществами </w:t>
      </w:r>
      <w:proofErr w:type="spellStart"/>
      <w:r w:rsidRPr="00C61E0B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предпенсионного</w:t>
      </w:r>
      <w:proofErr w:type="spellEnd"/>
      <w:r w:rsidRPr="00C61E0B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возраста, нужно подтвердить этот статус. И не словами, а официальным документом. Справку, подтверждающую статус человека в качестве </w:t>
      </w:r>
      <w:proofErr w:type="spellStart"/>
      <w:r w:rsidRPr="00C61E0B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предпенсионера</w:t>
      </w:r>
      <w:proofErr w:type="spellEnd"/>
      <w:r w:rsidRPr="00C61E0B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, можно получить несколькими способами. Во-первых, лично обратившись в территориальный орган Пенсионного фонда, МФЦ или через Личный кабинет гражданина на сайте ПФР. Второй путь – подать заявление в ведомство, предоставляющее льготу: налоговую службу, центр занятости, социальную защиту и др. И тогда по каналам межведомственного взаимодействия эти службы сами сделают запрос в ПФР о подтверждении статуса.</w:t>
      </w:r>
    </w:p>
    <w:p w:rsidR="00C61E0B" w:rsidRPr="00C61E0B" w:rsidRDefault="00C61E0B" w:rsidP="00C61E0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C61E0B">
        <w:rPr>
          <w:rFonts w:ascii="Arial" w:eastAsia="Times New Roman" w:hAnsi="Arial" w:cs="Arial"/>
          <w:color w:val="333333"/>
          <w:sz w:val="27"/>
          <w:szCs w:val="27"/>
          <w:u w:val="single"/>
          <w:lang w:eastAsia="ru-RU"/>
        </w:rPr>
        <w:t>ВАЖНО!</w:t>
      </w:r>
      <w:r w:rsidRPr="00C61E0B">
        <w:rPr>
          <w:rFonts w:ascii="Arial" w:eastAsia="Times New Roman" w:hAnsi="Arial" w:cs="Arial"/>
          <w:color w:val="333333"/>
          <w:sz w:val="27"/>
          <w:szCs w:val="27"/>
          <w:lang w:eastAsia="ru-RU"/>
        </w:rPr>
        <w:br/>
        <w:t xml:space="preserve">Право на </w:t>
      </w:r>
      <w:proofErr w:type="spellStart"/>
      <w:r w:rsidRPr="00C61E0B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предпенсионные</w:t>
      </w:r>
      <w:proofErr w:type="spellEnd"/>
      <w:r w:rsidRPr="00C61E0B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льготы определяется индивидуально. В большинстве случаев оно возникает за пять лет до нового пенсионного возраста с учетом переходного периода. Так, в 2020 году льготами могут воспользоваться женщины с 52 лет и старше и мужчины – с 57 лет и старше.</w:t>
      </w:r>
    </w:p>
    <w:p w:rsidR="00C61E0B" w:rsidRPr="00C61E0B" w:rsidRDefault="00C61E0B" w:rsidP="00C61E0B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C61E0B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</w:t>
      </w:r>
    </w:p>
    <w:p w:rsidR="0001733F" w:rsidRDefault="0001733F"/>
    <w:sectPr w:rsidR="0001733F" w:rsidSect="00C61E0B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E0B"/>
    <w:rsid w:val="0001733F"/>
    <w:rsid w:val="00C6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61E0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61E0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1E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61E0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C61E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1E0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61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1E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61E0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61E0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1E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61E0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C61E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1E0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61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1E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0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5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5500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25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36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2020-07-30T06:33:00Z</dcterms:created>
  <dcterms:modified xsi:type="dcterms:W3CDTF">2020-07-30T06:39:00Z</dcterms:modified>
</cp:coreProperties>
</file>